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40" w:rsidRDefault="00C56540" w:rsidP="00C56540">
      <w:pPr>
        <w:pStyle w:val="2"/>
        <w:snapToGrid w:val="0"/>
        <w:spacing w:line="360" w:lineRule="auto"/>
      </w:pPr>
      <w:r>
        <w:rPr>
          <w:rFonts w:hint="eastAsia"/>
        </w:rPr>
        <w:t>第十一章</w:t>
      </w:r>
      <w:r w:rsidRPr="00C75525">
        <w:t xml:space="preserve">　</w:t>
      </w:r>
      <w:r>
        <w:rPr>
          <w:rFonts w:hint="eastAsia"/>
        </w:rPr>
        <w:t>电路及其</w:t>
      </w:r>
      <w:r>
        <w:t>应用</w:t>
      </w:r>
    </w:p>
    <w:p w:rsidR="00A000CA" w:rsidRPr="00C75525" w:rsidRDefault="00A000CA" w:rsidP="00A000CA">
      <w:pPr>
        <w:pStyle w:val="2"/>
        <w:snapToGrid w:val="0"/>
        <w:spacing w:line="360" w:lineRule="auto"/>
      </w:pPr>
      <w:r w:rsidRPr="00C75525">
        <w:t>1</w:t>
      </w:r>
      <w:r w:rsidRPr="00C75525">
        <w:t xml:space="preserve">　电源和电流</w:t>
      </w:r>
    </w:p>
    <w:p w:rsidR="00A000CA" w:rsidRPr="00C75525" w:rsidRDefault="00C56540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A000CA" w:rsidRPr="00C75525">
        <w:rPr>
          <w:rFonts w:ascii="Times New Roman" w:eastAsia="方正楷体_GBK" w:hAnsi="Times New Roman"/>
        </w:rPr>
        <w:t>[</w:t>
      </w:r>
      <w:r w:rsidR="00A000CA" w:rsidRPr="00C75525">
        <w:rPr>
          <w:rFonts w:ascii="Times New Roman" w:eastAsia="方正楷体_GBK" w:hAnsi="Times New Roman"/>
        </w:rPr>
        <w:t>分值：</w:t>
      </w:r>
      <w:r w:rsidR="00A000CA" w:rsidRPr="00C75525">
        <w:rPr>
          <w:rFonts w:ascii="Times New Roman" w:hAnsi="Times New Roman"/>
        </w:rPr>
        <w:t>60</w:t>
      </w:r>
      <w:r w:rsidR="00A000CA" w:rsidRPr="00C75525">
        <w:rPr>
          <w:rFonts w:ascii="Times New Roman" w:eastAsia="方正楷体_GBK" w:hAnsi="Times New Roman"/>
        </w:rPr>
        <w:t>分</w:t>
      </w:r>
      <w:r w:rsidR="00A000CA" w:rsidRPr="00C75525">
        <w:rPr>
          <w:rFonts w:ascii="Times New Roman" w:eastAsia="方正楷体_GBK" w:hAnsi="Times New Roman"/>
        </w:rPr>
        <w:t>]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E0B6349" wp14:editId="05ECB440">
            <wp:extent cx="1077595" cy="250190"/>
            <wp:effectExtent l="0" t="0" r="8255" b="0"/>
            <wp:docPr id="1541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[1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考点一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电源与电流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关于电源的作用，下列说法中正确的是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电源的作用是保持导体两端的电势差，使电路中有持续的电流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电源的作用是将自由电荷从电路一端搬运到另一端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电源的作用是能为电路持续地提供自由电荷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电源的作用是使自由电荷由静止开始运动起来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福建省高二期中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如图所示，在</w:t>
      </w:r>
      <w:r w:rsidRPr="00C75525">
        <w:rPr>
          <w:rFonts w:ascii="Times New Roman" w:hAnsi="Times New Roman"/>
        </w:rPr>
        <w:t>NaCl</w:t>
      </w:r>
      <w:r w:rsidRPr="00C75525">
        <w:rPr>
          <w:rFonts w:ascii="Times New Roman" w:hAnsi="Times New Roman"/>
        </w:rPr>
        <w:t>溶液中，正、负电荷定向移动。若测得</w:t>
      </w:r>
      <w:r w:rsidRPr="00C75525">
        <w:rPr>
          <w:rFonts w:ascii="Times New Roman" w:hAnsi="Times New Roman"/>
        </w:rPr>
        <w:t>4 s</w:t>
      </w:r>
      <w:r w:rsidRPr="00C75525">
        <w:rPr>
          <w:rFonts w:ascii="Times New Roman" w:hAnsi="Times New Roman"/>
        </w:rPr>
        <w:t>内分别有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18</w:t>
      </w:r>
      <w:r w:rsidRPr="00C75525">
        <w:rPr>
          <w:rFonts w:ascii="Times New Roman" w:hAnsi="Times New Roman"/>
        </w:rPr>
        <w:t>个</w:t>
      </w:r>
      <w:r w:rsidRPr="00C75525">
        <w:rPr>
          <w:rFonts w:ascii="Times New Roman" w:hAnsi="Times New Roman"/>
        </w:rPr>
        <w:t>Na</w:t>
      </w:r>
      <w:r w:rsidRPr="00C75525">
        <w:rPr>
          <w:rFonts w:ascii="Times New Roman" w:hAnsi="Times New Roman"/>
          <w:vertAlign w:val="superscript"/>
        </w:rPr>
        <w:t>+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Cl</w:t>
      </w:r>
      <w:r w:rsidRPr="00C75525">
        <w:rPr>
          <w:rFonts w:ascii="Times New Roman" w:hAnsi="Times New Roman"/>
          <w:vertAlign w:val="superscript"/>
        </w:rPr>
        <w:t>-1</w:t>
      </w:r>
      <w:r w:rsidRPr="00C75525">
        <w:rPr>
          <w:rFonts w:ascii="Times New Roman" w:hAnsi="Times New Roman"/>
        </w:rPr>
        <w:t>通过溶液内部的横截面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，那么溶液中的电流大小为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4CBAEB9" wp14:editId="74FAE73D">
            <wp:extent cx="1153795" cy="1045210"/>
            <wp:effectExtent l="0" t="0" r="8255" b="2540"/>
            <wp:docPr id="1542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08 A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16 A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04 A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杭州市高二期中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如图是一次利用心脏除颤器的模拟治疗，该除颤器的电容器电容为</w:t>
      </w:r>
      <w:r w:rsidRPr="00C75525">
        <w:rPr>
          <w:rFonts w:ascii="Times New Roman" w:hAnsi="Times New Roman"/>
        </w:rPr>
        <w:t>15 μF</w:t>
      </w:r>
      <w:r w:rsidRPr="00C75525">
        <w:rPr>
          <w:rFonts w:ascii="Times New Roman" w:hAnsi="Times New Roman"/>
        </w:rPr>
        <w:t>，如果充电后电容器的电压为</w:t>
      </w: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kV</w:t>
      </w:r>
      <w:r w:rsidRPr="00C75525">
        <w:rPr>
          <w:rFonts w:ascii="Times New Roman" w:hAnsi="Times New Roman"/>
        </w:rPr>
        <w:t>，电容器在</w:t>
      </w: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ms</w:t>
      </w:r>
      <w:r w:rsidRPr="00C75525">
        <w:rPr>
          <w:rFonts w:ascii="Times New Roman" w:hAnsi="Times New Roman"/>
        </w:rPr>
        <w:t>时间内完成放电，则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8860EE9" wp14:editId="29F6F54F">
            <wp:extent cx="1077595" cy="609600"/>
            <wp:effectExtent l="0" t="0" r="8255" b="0"/>
            <wp:docPr id="1547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放电后，电容器的电容为零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该电容器的工作电压一定为</w:t>
      </w: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kV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该次治疗，通过人体的平均电流为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12 A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该次治疗，通过人体的平均电流为</w:t>
      </w:r>
      <w:r w:rsidRPr="00C75525">
        <w:rPr>
          <w:rFonts w:ascii="Times New Roman" w:hAnsi="Times New Roman"/>
        </w:rPr>
        <w:t>12 A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考点二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电流的微观表达式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重庆市沙坪坝区高二期中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如图所示，将同种材料制成的圆柱形导体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串接在电路中，其中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的横截面积是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</w:rPr>
        <w:t>倍。通过恒定电流时自由电子在两部分导体中定向移动速率之比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等于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22DAA6D" wp14:editId="2CEFB918">
            <wp:extent cx="1403985" cy="359410"/>
            <wp:effectExtent l="0" t="0" r="5715" b="2540"/>
            <wp:docPr id="1552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lastRenderedPageBreak/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新疆鸿德实验学校高二期末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一段粗细均匀的金属导体的横截面积是</w:t>
      </w:r>
      <w:r w:rsidRPr="00C75525">
        <w:rPr>
          <w:rFonts w:ascii="Times New Roman" w:hAnsi="Times New Roman"/>
          <w:i/>
        </w:rPr>
        <w:t>S</w:t>
      </w:r>
      <w:r w:rsidRPr="00C75525">
        <w:rPr>
          <w:rFonts w:ascii="Times New Roman" w:hAnsi="Times New Roman"/>
        </w:rPr>
        <w:t>，导体单位体积内的自由电子数为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，金属内的自由电子的电荷量为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，自由电子做无规则热运动的速率为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，导体中通过的电流为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，则下列说法正确的有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自由电子定向移动的速率为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自由电子定向移动的速率为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neS</m:t>
            </m:r>
          </m:den>
        </m:f>
      </m:oMath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电场传播速率为真空中的光速</w:t>
      </w:r>
      <w:r w:rsidRPr="00C75525">
        <w:rPr>
          <w:rFonts w:ascii="Times New Roman" w:hAnsi="Times New Roman"/>
          <w:i/>
        </w:rPr>
        <w:t>c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自由电子定向移动的速率为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ne</m:t>
            </m:r>
          </m:den>
        </m:f>
      </m:oMath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考点三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电池的容量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石墨烯因为具有高导电性、高导热性、高强度和独特的二维结构，在工业界被誉为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新材料之王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，并在能源装备、交通运输、航空航天、电子信息等传统和新兴产业领域呈现出良好的应用前景。假设某手机石墨烯电池容量为</w:t>
      </w:r>
      <w:r w:rsidRPr="00C75525">
        <w:rPr>
          <w:rFonts w:ascii="Times New Roman" w:hAnsi="Times New Roman"/>
        </w:rPr>
        <w:t>5 000 mA·h</w:t>
      </w:r>
      <w:r w:rsidRPr="00C75525">
        <w:rPr>
          <w:rFonts w:ascii="Times New Roman" w:hAnsi="Times New Roman"/>
        </w:rPr>
        <w:t>，充满电的时间为</w:t>
      </w:r>
      <w:r w:rsidRPr="00C75525">
        <w:rPr>
          <w:rFonts w:ascii="Times New Roman" w:hAnsi="Times New Roman"/>
        </w:rPr>
        <w:t>6 min</w:t>
      </w:r>
      <w:r w:rsidRPr="00C75525">
        <w:rPr>
          <w:rFonts w:ascii="Times New Roman" w:hAnsi="Times New Roman"/>
        </w:rPr>
        <w:t>，则充电电流为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50 A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A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500 mA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50 mA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华东师范大学二附中高二期中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充电宝是可以直接给手机充电的储能装置。电源的转化率是指电源放电总量占电源容量的比值，一般在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70</w:t>
      </w:r>
      <w:r w:rsidRPr="00C75525">
        <w:rPr>
          <w:rFonts w:ascii="Times New Roman" w:hAnsi="Times New Roman"/>
        </w:rPr>
        <w:t>之间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包括移动电源和被充电电池的线路板、接头和连线的损耗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。下表为某一款移动电源的参数表，则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tbl>
      <w:tblPr>
        <w:tblW w:w="0" w:type="auto"/>
        <w:jc w:val="center"/>
        <w:tblBorders>
          <w:top w:val="single" w:sz="3" w:space="0" w:color="404040"/>
          <w:left w:val="single" w:sz="3" w:space="0" w:color="404040"/>
          <w:bottom w:val="single" w:sz="3" w:space="0" w:color="404040"/>
          <w:right w:val="single" w:sz="3" w:space="0" w:color="404040"/>
        </w:tblBorders>
        <w:tblLook w:val="04A0" w:firstRow="1" w:lastRow="0" w:firstColumn="1" w:lastColumn="0" w:noHBand="0" w:noVBand="1"/>
      </w:tblPr>
      <w:tblGrid>
        <w:gridCol w:w="807"/>
        <w:gridCol w:w="1749"/>
        <w:gridCol w:w="1019"/>
        <w:gridCol w:w="3356"/>
      </w:tblGrid>
      <w:tr w:rsidR="00A000CA" w:rsidRPr="00C75525" w:rsidTr="00CC4339">
        <w:trPr>
          <w:trHeight w:val="298"/>
          <w:jc w:val="center"/>
        </w:trPr>
        <w:tc>
          <w:tcPr>
            <w:tcW w:w="80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容量</w:t>
            </w:r>
          </w:p>
        </w:tc>
        <w:tc>
          <w:tcPr>
            <w:tcW w:w="174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10 000</w:t>
            </w:r>
            <w:r>
              <w:rPr>
                <w:rFonts w:ascii="Times New Roman" w:hAnsi="Times New Roman"/>
              </w:rPr>
              <w:t xml:space="preserve"> </w:t>
            </w:r>
            <w:r w:rsidRPr="00C75525">
              <w:rPr>
                <w:rFonts w:ascii="Times New Roman" w:hAnsi="Times New Roman"/>
              </w:rPr>
              <w:t>mA·h</w:t>
            </w:r>
          </w:p>
        </w:tc>
        <w:tc>
          <w:tcPr>
            <w:tcW w:w="101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兼容</w:t>
            </w:r>
          </w:p>
        </w:tc>
        <w:tc>
          <w:tcPr>
            <w:tcW w:w="335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兼容大部分智能手机和平板电脑</w:t>
            </w:r>
          </w:p>
        </w:tc>
      </w:tr>
      <w:tr w:rsidR="00A000CA" w:rsidRPr="00C75525" w:rsidTr="00CC4339">
        <w:trPr>
          <w:trHeight w:val="298"/>
          <w:jc w:val="center"/>
        </w:trPr>
        <w:tc>
          <w:tcPr>
            <w:tcW w:w="80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边充</w:t>
            </w:r>
          </w:p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边放</w:t>
            </w:r>
          </w:p>
        </w:tc>
        <w:tc>
          <w:tcPr>
            <w:tcW w:w="174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否</w:t>
            </w:r>
          </w:p>
        </w:tc>
        <w:tc>
          <w:tcPr>
            <w:tcW w:w="101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保护</w:t>
            </w:r>
          </w:p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电路</w:t>
            </w:r>
          </w:p>
        </w:tc>
        <w:tc>
          <w:tcPr>
            <w:tcW w:w="335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是</w:t>
            </w:r>
          </w:p>
        </w:tc>
      </w:tr>
      <w:tr w:rsidR="00A000CA" w:rsidRPr="00C75525" w:rsidTr="00CC4339">
        <w:trPr>
          <w:trHeight w:val="298"/>
          <w:jc w:val="center"/>
        </w:trPr>
        <w:tc>
          <w:tcPr>
            <w:tcW w:w="80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输入</w:t>
            </w:r>
          </w:p>
        </w:tc>
        <w:tc>
          <w:tcPr>
            <w:tcW w:w="174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DC 5 V</w:t>
            </w:r>
          </w:p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2 A MAX</w:t>
            </w:r>
          </w:p>
        </w:tc>
        <w:tc>
          <w:tcPr>
            <w:tcW w:w="101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输出</w:t>
            </w:r>
          </w:p>
        </w:tc>
        <w:tc>
          <w:tcPr>
            <w:tcW w:w="335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USB1</w:t>
            </w:r>
            <w:r w:rsidRPr="00C75525">
              <w:rPr>
                <w:rFonts w:ascii="Times New Roman" w:hAnsi="Times New Roman"/>
              </w:rPr>
              <w:t>：</w:t>
            </w:r>
            <w:r w:rsidRPr="00C75525">
              <w:rPr>
                <w:rFonts w:ascii="Times New Roman" w:hAnsi="Times New Roman"/>
              </w:rPr>
              <w:t>DC 5 V</w:t>
            </w:r>
            <w:r w:rsidRPr="00C75525">
              <w:rPr>
                <w:rFonts w:ascii="Times New Roman" w:hAnsi="Times New Roman"/>
              </w:rPr>
              <w:t xml:space="preserve">　</w:t>
            </w:r>
            <w:r w:rsidRPr="00C75525">
              <w:rPr>
                <w:rFonts w:ascii="Times New Roman" w:hAnsi="Times New Roman"/>
              </w:rPr>
              <w:t>1 A</w:t>
            </w:r>
          </w:p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USB2</w:t>
            </w:r>
            <w:r w:rsidRPr="00C75525">
              <w:rPr>
                <w:rFonts w:ascii="Times New Roman" w:hAnsi="Times New Roman"/>
              </w:rPr>
              <w:t>：</w:t>
            </w:r>
            <w:r w:rsidRPr="00C75525">
              <w:rPr>
                <w:rFonts w:ascii="Times New Roman" w:hAnsi="Times New Roman"/>
              </w:rPr>
              <w:t>DC 5 V</w:t>
            </w:r>
            <w:r w:rsidRPr="00C75525">
              <w:rPr>
                <w:rFonts w:ascii="Times New Roman" w:hAnsi="Times New Roman"/>
              </w:rPr>
              <w:t xml:space="preserve">　</w:t>
            </w:r>
            <w:r w:rsidRPr="00C75525">
              <w:rPr>
                <w:rFonts w:ascii="Times New Roman" w:hAnsi="Times New Roman"/>
              </w:rPr>
              <w:t>2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1 A</w:t>
            </w:r>
          </w:p>
        </w:tc>
      </w:tr>
      <w:tr w:rsidR="00A000CA" w:rsidRPr="00C75525" w:rsidTr="00CC4339">
        <w:trPr>
          <w:trHeight w:val="298"/>
          <w:jc w:val="center"/>
        </w:trPr>
        <w:tc>
          <w:tcPr>
            <w:tcW w:w="807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尺寸</w:t>
            </w:r>
          </w:p>
        </w:tc>
        <w:tc>
          <w:tcPr>
            <w:tcW w:w="174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140</w:t>
            </w:r>
            <w:r w:rsidRPr="00E37499">
              <w:rPr>
                <w:rFonts w:asciiTheme="majorEastAsia" w:eastAsiaTheme="majorEastAsia" w:hAnsiTheme="majorEastAsia"/>
              </w:rPr>
              <w:t>×</w:t>
            </w:r>
            <w:r w:rsidRPr="00C75525">
              <w:rPr>
                <w:rFonts w:ascii="Times New Roman" w:hAnsi="Times New Roman"/>
              </w:rPr>
              <w:t>63</w:t>
            </w:r>
            <w:r w:rsidRPr="00E37499">
              <w:rPr>
                <w:rFonts w:asciiTheme="majorEastAsia" w:eastAsiaTheme="majorEastAsia" w:hAnsiTheme="majorEastAsia"/>
              </w:rPr>
              <w:t>×</w:t>
            </w:r>
            <w:r w:rsidRPr="00C75525">
              <w:rPr>
                <w:rFonts w:ascii="Times New Roman" w:hAnsi="Times New Roman"/>
              </w:rPr>
              <w:t>22 mm</w:t>
            </w:r>
          </w:p>
        </w:tc>
        <w:tc>
          <w:tcPr>
            <w:tcW w:w="1019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转换率</w:t>
            </w:r>
          </w:p>
        </w:tc>
        <w:tc>
          <w:tcPr>
            <w:tcW w:w="3356" w:type="dxa"/>
            <w:tcBorders>
              <w:top w:val="single" w:sz="3" w:space="0" w:color="404040"/>
              <w:left w:val="single" w:sz="3" w:space="0" w:color="404040"/>
              <w:bottom w:val="single" w:sz="3" w:space="0" w:color="404040"/>
              <w:right w:val="single" w:sz="3" w:space="0" w:color="40404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000CA" w:rsidRPr="00C75525" w:rsidRDefault="00A000CA" w:rsidP="00CC4339">
            <w:pPr>
              <w:tabs>
                <w:tab w:val="left" w:pos="2268"/>
                <w:tab w:val="left" w:pos="4395"/>
                <w:tab w:val="left" w:pos="6663"/>
              </w:tabs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C75525">
              <w:rPr>
                <w:rFonts w:ascii="Times New Roman" w:hAnsi="Times New Roman"/>
              </w:rPr>
              <w:t>0</w:t>
            </w:r>
            <w:r w:rsidRPr="008E5405">
              <w:rPr>
                <w:rFonts w:ascii="Times New Roman" w:hAnsi="Times New Roman"/>
              </w:rPr>
              <w:t>.</w:t>
            </w:r>
            <w:r w:rsidRPr="00C75525">
              <w:rPr>
                <w:rFonts w:ascii="Times New Roman" w:hAnsi="Times New Roman"/>
              </w:rPr>
              <w:t>60</w:t>
            </w:r>
          </w:p>
        </w:tc>
      </w:tr>
    </w:tbl>
    <w:p w:rsidR="00A000CA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参数表中的</w:t>
      </w:r>
      <w:r w:rsidRPr="00C75525">
        <w:rPr>
          <w:rFonts w:ascii="Times New Roman" w:hAnsi="Times New Roman"/>
        </w:rPr>
        <w:t>10 000 mA·h</w:t>
      </w:r>
      <w:r w:rsidRPr="00C75525">
        <w:rPr>
          <w:rFonts w:ascii="Times New Roman" w:hAnsi="Times New Roman"/>
        </w:rPr>
        <w:t>是指其储存的电能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该电源最多能储存电荷量为</w:t>
      </w: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4</w:t>
      </w:r>
      <w:r w:rsidRPr="00C75525">
        <w:rPr>
          <w:rFonts w:ascii="Times New Roman" w:hAnsi="Times New Roman"/>
        </w:rPr>
        <w:t xml:space="preserve"> C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</w:t>
      </w:r>
      <w:r w:rsidRPr="00C75525">
        <w:rPr>
          <w:rFonts w:ascii="Times New Roman" w:hAnsi="Times New Roman"/>
        </w:rPr>
        <w:t>2 A</w:t>
      </w:r>
      <w:r w:rsidRPr="00C75525">
        <w:rPr>
          <w:rFonts w:ascii="Times New Roman" w:hAnsi="Times New Roman"/>
        </w:rPr>
        <w:t>电流给该电源充电，该电源电量从零到完全充满的时间约为</w:t>
      </w:r>
      <w:r w:rsidRPr="00C75525">
        <w:rPr>
          <w:rFonts w:ascii="Times New Roman" w:hAnsi="Times New Roman"/>
        </w:rPr>
        <w:t>1 h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该电源给电量为零、容量为</w:t>
      </w:r>
      <w:r w:rsidRPr="00C75525">
        <w:rPr>
          <w:rFonts w:ascii="Times New Roman" w:hAnsi="Times New Roman"/>
        </w:rPr>
        <w:t>2 000 mA·h</w:t>
      </w:r>
      <w:r w:rsidRPr="00C75525">
        <w:rPr>
          <w:rFonts w:ascii="Times New Roman" w:hAnsi="Times New Roman"/>
        </w:rPr>
        <w:t>的手机充电，大约能充满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hAnsi="Times New Roman"/>
        </w:rPr>
        <w:t>次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39C889E" wp14:editId="2731D70A">
            <wp:extent cx="1077595" cy="397510"/>
            <wp:effectExtent l="0" t="0" r="8255" b="2540"/>
            <wp:docPr id="1569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>[8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一段粗细均匀的导线的横截面积为</w:t>
      </w:r>
      <w:r w:rsidRPr="00C75525">
        <w:rPr>
          <w:rFonts w:ascii="Times New Roman" w:hAnsi="Times New Roman"/>
          <w:i/>
        </w:rPr>
        <w:t>S</w:t>
      </w:r>
      <w:r w:rsidRPr="00C75525">
        <w:rPr>
          <w:rFonts w:ascii="Times New Roman" w:hAnsi="Times New Roman"/>
        </w:rPr>
        <w:t>，导线内自由电子的电荷量为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，导线单位长度内自由电子数为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，导线单位体积内自由电子数为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，自由电子定向运动的平均速率为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</w:rPr>
        <w:t>，单位时间内通过某一横截面的自由电子数为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</w:rPr>
        <w:t>。则导线中的电流为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  <w:i/>
        </w:rPr>
        <w:t>eSv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  <w:i/>
        </w:rPr>
        <w:t>ev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  <w:i/>
        </w:rPr>
        <w:t>eSv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  <w:vertAlign w:val="subscript"/>
        </w:rPr>
        <w:t>3</w:t>
      </w:r>
      <w:r w:rsidRPr="00C75525">
        <w:rPr>
          <w:rFonts w:ascii="Times New Roman" w:hAnsi="Times New Roman"/>
          <w:i/>
        </w:rPr>
        <w:t>e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北京正负电子对撞机的储存环是周长为</w:t>
      </w:r>
      <w:r w:rsidRPr="00C75525">
        <w:rPr>
          <w:rFonts w:ascii="Times New Roman" w:hAnsi="Times New Roman"/>
        </w:rPr>
        <w:t>240 m</w:t>
      </w:r>
      <w:r w:rsidRPr="00C75525">
        <w:rPr>
          <w:rFonts w:ascii="Times New Roman" w:hAnsi="Times New Roman"/>
        </w:rPr>
        <w:t>的近似圆形轨道。当环中电子以光速的百分之一运动而形成</w:t>
      </w:r>
      <w:r w:rsidRPr="00C75525">
        <w:rPr>
          <w:rFonts w:ascii="Times New Roman" w:hAnsi="Times New Roman"/>
        </w:rPr>
        <w:t>10 mA</w:t>
      </w:r>
      <w:r w:rsidRPr="00C75525">
        <w:rPr>
          <w:rFonts w:ascii="Times New Roman" w:hAnsi="Times New Roman"/>
        </w:rPr>
        <w:t>的电流时，则环中运行的电子数目为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=3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8</w:t>
      </w:r>
      <w:r w:rsidRPr="00C75525">
        <w:rPr>
          <w:rFonts w:ascii="Times New Roman" w:hAnsi="Times New Roman"/>
        </w:rPr>
        <w:t xml:space="preserve"> m/s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=1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-19</w:t>
      </w:r>
      <w:r w:rsidRPr="00C75525">
        <w:rPr>
          <w:rFonts w:ascii="Times New Roman" w:hAnsi="Times New Roman"/>
        </w:rPr>
        <w:t xml:space="preserve"> C)(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12</w:t>
      </w:r>
      <w:r w:rsidRPr="00C75525">
        <w:rPr>
          <w:rFonts w:ascii="Times New Roman" w:hAnsi="Times New Roman"/>
        </w:rPr>
        <w:t>个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11</w:t>
      </w:r>
      <w:r w:rsidRPr="00C75525">
        <w:rPr>
          <w:rFonts w:ascii="Times New Roman" w:hAnsi="Times New Roman"/>
        </w:rPr>
        <w:t>个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12</w:t>
      </w:r>
      <w:r w:rsidRPr="00C75525">
        <w:rPr>
          <w:rFonts w:ascii="Times New Roman" w:hAnsi="Times New Roman"/>
        </w:rPr>
        <w:t>个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14</w:t>
      </w:r>
      <w:r w:rsidRPr="00C75525">
        <w:rPr>
          <w:rFonts w:ascii="Times New Roman" w:hAnsi="Times New Roman"/>
        </w:rPr>
        <w:t>个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成都市第七中学期中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某些肿瘤可以用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质子疗法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进行治疗。在这种疗法中，为了能让质子进入癌细胞，首先要实现质子的高速运动，该过程需要一种被称作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粒子加速器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的装置来实现。质子先被加速到较高的速度，然后轰击肿瘤并杀死癌细胞。如图所示，来自质子源的质子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初速度为零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经加速电压为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的加速器加速后，形成细柱形的质子流。已知细柱形的质子流横截面积为</w:t>
      </w:r>
      <w:r w:rsidRPr="00C75525">
        <w:rPr>
          <w:rFonts w:ascii="Times New Roman" w:hAnsi="Times New Roman"/>
          <w:i/>
        </w:rPr>
        <w:t>S</w:t>
      </w:r>
      <w:r w:rsidRPr="00C75525">
        <w:rPr>
          <w:rFonts w:ascii="Times New Roman" w:hAnsi="Times New Roman"/>
        </w:rPr>
        <w:t>，其等效电流为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；质子的质量为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，其电荷量为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。那么这束质子流内单位体积的质子数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E13529B" wp14:editId="0654D217">
            <wp:extent cx="1801495" cy="974090"/>
            <wp:effectExtent l="0" t="0" r="8255" b="0"/>
            <wp:docPr id="1586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eS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C75525">
        <w:rPr>
          <w:rFonts w:ascii="Times New Roman" w:hAnsi="Times New Roman"/>
        </w:rPr>
        <w:t xml:space="preserve"> 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eS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eU</m:t>
                </m:r>
              </m:den>
            </m:f>
          </m:e>
        </m:rad>
      </m:oMath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eS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eS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den>
            </m:f>
          </m:e>
        </m:rad>
      </m:oMath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F0C5E4B" wp14:editId="188A6E51">
            <wp:extent cx="1077595" cy="397510"/>
            <wp:effectExtent l="0" t="0" r="8255" b="2540"/>
            <wp:docPr id="1599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A000CA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运城市高二期中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如图所示，橡胶圆环的横截面积</w:t>
      </w:r>
      <w:r w:rsidRPr="00C75525">
        <w:rPr>
          <w:rFonts w:ascii="Times New Roman" w:hAnsi="Times New Roman"/>
          <w:i/>
        </w:rPr>
        <w:t>S</w:t>
      </w:r>
      <w:r w:rsidRPr="00C75525">
        <w:rPr>
          <w:rFonts w:ascii="Times New Roman" w:hAnsi="Times New Roman"/>
        </w:rPr>
        <w:t>远小于圆环的半径，圆环均匀带电，总的带电荷量为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，现在使圆环绕过圆心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所在的轴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轴与圆环所在的平面垂直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以某一角速度做匀速转动，已知圆环上的某个电荷的线速度大小为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</w:rPr>
        <w:t>，弧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对应的弧长为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，对应的圆心角为</w:t>
      </w:r>
      <w:r w:rsidRPr="00C75525">
        <w:rPr>
          <w:rFonts w:ascii="Times New Roman" w:hAnsi="Times New Roman"/>
          <w:i/>
        </w:rPr>
        <w:t>θ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用弧度制来表示的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，则圆环产生的等效电流为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1B6D1B3" wp14:editId="2D978350">
            <wp:extent cx="897890" cy="897890"/>
            <wp:effectExtent l="0" t="0" r="0" b="0"/>
            <wp:docPr id="1600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0CA" w:rsidRPr="00C75525" w:rsidRDefault="00A000CA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θqv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θqv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θqv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θqv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F55001" w:rsidRDefault="00F55001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424F40" w:rsidRPr="0062044B" w:rsidRDefault="00424F40" w:rsidP="00424F40">
      <w:pPr>
        <w:pStyle w:val="2"/>
      </w:pPr>
      <w:r w:rsidRPr="0062044B">
        <w:t>答案精析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电源的作用是将自由电荷从电路的一端搬运到另一端，保持外电路两端有电势差，使电路中有持续的电流，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正确；导体中本来就有自由电荷，电源的作用不是为电路持续地提供自由电荷，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错误；自由电荷本身也做无规则的运动，电源的作用是保持导体两端有持续的电势差，使自由电荷发生定向移动，从而使电路中产生电流，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溶液中的电流大小为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18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1.6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电容器的电容由电容器本身决定，与所带电荷量无关，则放电后，电容器的电容仍为</w:t>
      </w:r>
      <w:r w:rsidRPr="0062044B">
        <w:rPr>
          <w:rFonts w:ascii="Times New Roman" w:hAnsi="Times New Roman"/>
        </w:rPr>
        <w:t>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μF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错误；电容器的工作电压为其外壳上标的电压，不一定是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错误；放电前，电容器存储的电荷量为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CU</w:t>
      </w:r>
      <w:r w:rsidRPr="0062044B">
        <w:rPr>
          <w:rFonts w:ascii="Times New Roman" w:hAnsi="Times New Roman"/>
        </w:rPr>
        <w:t>=15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，该次治疗，通过人体的平均电流为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0.06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根据电流的微观表达式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neSv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串联，故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相同，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</w:rPr>
        <w:t>成反比，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的横截面积是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倍，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自由电子做无规则热运动的速率并非自由电子定向移动的速率，自由电子的定向移动会在导体内形成电流，而根据电流的微观表达式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neSv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可得自由电子定向移动的速率为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neS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正确；电场传播速率为真空中的光速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手机石墨烯电池容量为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mA·h</w:t>
      </w:r>
      <w:r w:rsidRPr="0062044B">
        <w:rPr>
          <w:rFonts w:ascii="Times New Roman" w:eastAsia="楷体" w:hAnsi="Times New Roman"/>
        </w:rPr>
        <w:t>，充满电的时间为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min=0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h</w:t>
      </w:r>
      <w:r w:rsidRPr="0062044B">
        <w:rPr>
          <w:rFonts w:ascii="Times New Roman" w:eastAsia="楷体" w:hAnsi="Times New Roman"/>
        </w:rPr>
        <w:t>，则充电电流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mA=50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参数表中的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mA·h</w:t>
      </w:r>
      <w:r w:rsidRPr="0062044B">
        <w:rPr>
          <w:rFonts w:ascii="Times New Roman" w:eastAsia="楷体" w:hAnsi="Times New Roman"/>
        </w:rPr>
        <w:t>是指电源储存的电荷量，所以电源最多能储存电荷量为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mA·h=10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该电源电量从零到完全充满的时间为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s&gt;1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h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若该电源给电量为零、容量为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mA·h</w:t>
      </w:r>
      <w:r w:rsidRPr="0062044B">
        <w:rPr>
          <w:rFonts w:ascii="Times New Roman" w:eastAsia="楷体" w:hAnsi="Times New Roman"/>
        </w:rPr>
        <w:t>的手机充电，则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0.60</m:t>
            </m:r>
          </m:num>
          <m:den>
            <m:r>
              <w:rPr>
                <w:rFonts w:ascii="Cambria Math" w:hAnsi="Cambria Math"/>
              </w:rPr>
              <m:t>q'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10 000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2 000</m:t>
            </m:r>
          </m:den>
        </m:f>
      </m:oMath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根据电流定义式可得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e·t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根据电流微观表达式可得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eSv</w:t>
      </w:r>
      <w:r w:rsidRPr="0062044B">
        <w:rPr>
          <w:rFonts w:ascii="Times New Roman" w:eastAsia="楷体" w:hAnsi="Times New Roman"/>
        </w:rPr>
        <w:t>，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根据电流定义式可得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e·vt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ev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电子运动一周的时间：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c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100</m:t>
                </m:r>
              </m:den>
            </m:f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s=8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，得电荷量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It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s=8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，在整个环中运行的电子数目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-7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1.6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-19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个</w:t>
      </w:r>
      <w:r w:rsidRPr="0062044B">
        <w:rPr>
          <w:rFonts w:ascii="Times New Roman" w:hAnsi="Times New Roman"/>
        </w:rPr>
        <w:t>=5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12</w:t>
      </w:r>
      <w:r w:rsidRPr="0062044B">
        <w:rPr>
          <w:rFonts w:ascii="Times New Roman" w:eastAsia="楷体" w:hAnsi="Times New Roman"/>
        </w:rPr>
        <w:t>个，故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质子在加速电场中加速，有</w:t>
      </w:r>
      <w:r w:rsidRPr="0062044B">
        <w:rPr>
          <w:rFonts w:ascii="Times New Roman" w:hAnsi="Times New Roman"/>
          <w:i/>
        </w:rPr>
        <w:t>Ue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neSv</w:t>
      </w:r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eS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424F40" w:rsidRPr="0062044B" w:rsidRDefault="00424F40" w:rsidP="00424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设圆环运动一周的时间为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，在时间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内通过圆环上任意一横截面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eastAsia="楷体" w:hAnsi="Times New Roman"/>
        </w:rPr>
        <w:t>的总电荷量就是圆环上所带的总电荷量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，由电流的定义可得圆环产生的等效电流为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，由数学知识可得圆弧的半径为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θ</m:t>
            </m:r>
          </m:den>
        </m:f>
      </m:oMath>
      <w:r w:rsidRPr="0062044B">
        <w:rPr>
          <w:rFonts w:ascii="Times New Roman" w:eastAsia="楷体" w:hAnsi="Times New Roman"/>
        </w:rPr>
        <w:t>，由匀速圆周运动的规律可得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θv</m:t>
            </m:r>
          </m:den>
        </m:f>
      </m:oMath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θqv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424F40" w:rsidRPr="00A000CA" w:rsidRDefault="00424F40" w:rsidP="00A000CA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424F40" w:rsidRPr="00A000C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7A0" w:rsidRDefault="003A37A0" w:rsidP="006C537E">
      <w:pPr>
        <w:pStyle w:val="a3"/>
      </w:pPr>
      <w:r>
        <w:separator/>
      </w:r>
    </w:p>
  </w:endnote>
  <w:endnote w:type="continuationSeparator" w:id="0">
    <w:p w:rsidR="003A37A0" w:rsidRDefault="003A37A0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7A0" w:rsidRDefault="003A37A0">
      <w:pPr>
        <w:pStyle w:val="a3"/>
      </w:pPr>
      <w:r>
        <w:separator/>
      </w:r>
    </w:p>
  </w:footnote>
  <w:footnote w:type="continuationSeparator" w:id="0">
    <w:p w:rsidR="003A37A0" w:rsidRDefault="003A37A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3C96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37A0"/>
    <w:rsid w:val="003A7363"/>
    <w:rsid w:val="003B0166"/>
    <w:rsid w:val="003B1CD3"/>
    <w:rsid w:val="00405CA5"/>
    <w:rsid w:val="00424F40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000CA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565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03A7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2025-04-17T00:46:00Z</dcterms:modified>
</cp:coreProperties>
</file>